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6" w:rsidRPr="002C2936" w:rsidRDefault="002C2936" w:rsidP="002C2936">
      <w:pPr>
        <w:pBdr>
          <w:bottom w:val="single" w:sz="4" w:space="1" w:color="auto"/>
        </w:pBdr>
        <w:tabs>
          <w:tab w:val="left" w:pos="13098"/>
        </w:tabs>
        <w:spacing w:before="240"/>
        <w:rPr>
          <w:rFonts w:ascii="Myriad Pro" w:eastAsia="Calibri" w:hAnsi="Myriad Pro" w:cs="Times New Roman"/>
          <w:b/>
          <w:sz w:val="30"/>
          <w:szCs w:val="30"/>
        </w:rPr>
      </w:pPr>
      <w:bookmarkStart w:id="0" w:name="_GoBack"/>
      <w:bookmarkEnd w:id="0"/>
      <w:r w:rsidRPr="002C2936">
        <w:rPr>
          <w:rFonts w:ascii="Myriad Pro" w:eastAsia="Calibri" w:hAnsi="Myriad Pro" w:cs="Times New Roman"/>
          <w:b/>
          <w:sz w:val="30"/>
          <w:szCs w:val="30"/>
        </w:rPr>
        <w:t>Quality Assurance Course Review Checklist</w:t>
      </w:r>
      <w:r w:rsidRPr="002C2936">
        <w:rPr>
          <w:rFonts w:ascii="Myriad Pro" w:eastAsia="Calibri" w:hAnsi="Myriad Pro" w:cs="Times New Roman"/>
          <w:b/>
          <w:sz w:val="30"/>
          <w:szCs w:val="30"/>
        </w:rPr>
        <w:tab/>
      </w:r>
    </w:p>
    <w:p w:rsidR="002C2936" w:rsidRPr="002C2936" w:rsidRDefault="002C2936" w:rsidP="002C2936">
      <w:pPr>
        <w:spacing w:after="0" w:line="240" w:lineRule="auto"/>
        <w:rPr>
          <w:rFonts w:ascii="Myriad Pro" w:eastAsia="Calibri" w:hAnsi="Myriad Pro" w:cs="Times New Roman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660"/>
        <w:gridCol w:w="5245"/>
        <w:gridCol w:w="3402"/>
      </w:tblGrid>
      <w:tr w:rsidR="002C2936" w:rsidRPr="002C2936" w:rsidTr="002C2936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Areas of Focus for  Audit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Possible sources of e</w:t>
            </w:r>
            <w:r w:rsidRPr="002C2936">
              <w:rPr>
                <w:rFonts w:ascii="Myriad Pro" w:hAnsi="Myriad Pro"/>
                <w:b/>
              </w:rPr>
              <w:t>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Unit Convenor’s comments</w:t>
            </w: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Course performance data and benchmarking</w:t>
            </w:r>
            <w:r w:rsidRPr="002C2936">
              <w:rPr>
                <w:rFonts w:ascii="Myriad Pro" w:hAnsi="Myriad Pro"/>
                <w:vertAlign w:val="superscript"/>
              </w:rPr>
              <w:footnoteReference w:id="1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Comparative performance data include: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Grade distributions;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Student progress rates;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Student attrition rates;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Completion rates by entry pathway, mode of study, and place of study;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Student satisfaction; and</w:t>
            </w:r>
          </w:p>
          <w:p w:rsidR="002C2936" w:rsidRPr="002C2936" w:rsidRDefault="002C2936" w:rsidP="002C2936">
            <w:pPr>
              <w:numPr>
                <w:ilvl w:val="0"/>
                <w:numId w:val="1"/>
              </w:numPr>
              <w:contextualSpacing/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Other comparative data.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  <w:color w:val="FF0000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Learning outcomes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Learning outcomes are aligned to the AQF specification at the applicable level and alignment can be demonstrated.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If a course of study is delivered in a language other than English (LOTE), equivalence in learning outcomes is assured for each site, mode of study and/or delivery in LOTE.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Graduate attributes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The appropriate development and attainment of key graduate attributes, including English language proficiency.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Key graduate attributes are integrated with curriculum design, assessment practices and course delivery.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Assessment, moderation </w:t>
            </w:r>
            <w:r w:rsidRPr="002C2936">
              <w:rPr>
                <w:rFonts w:ascii="Myriad Pro" w:hAnsi="Myriad Pro"/>
              </w:rPr>
              <w:lastRenderedPageBreak/>
              <w:t>of assessment and integrity of assessment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lastRenderedPageBreak/>
              <w:t xml:space="preserve">Approach to assessment in line with the University’s </w:t>
            </w:r>
            <w:r w:rsidRPr="002C2936">
              <w:rPr>
                <w:rFonts w:ascii="Myriad Pro" w:hAnsi="Myriad Pro"/>
              </w:rPr>
              <w:lastRenderedPageBreak/>
              <w:t>assessment and moderation policies, procedures and guidelines.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Variations in assessment to cater for students with special needs.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Approach to moderation – evidence of consistency and reliability of assessment and grading.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Effective use of plagiarism software and other mechanisms to uphold the integrity of assessment.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Timely and adequate feedback to students on assessed work.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Use of student input in the development of assessment.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lastRenderedPageBreak/>
              <w:t>Professional accreditation and/ or registration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Copies of accreditation and/or registration activities and outcomes during the most recent accreditation period, the main findings and outcomes from these activities, and actions taken.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Course monitoring and review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The course of study has been systematically updated through internal and external review and course monitoring activities.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Examples of data used in the review and course monitoring processes.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Reports containing findings from review processes conducted for the course of study and evidence of action taken to address any recommendations or opportunities for improvement identified. 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lastRenderedPageBreak/>
              <w:t>Development of course content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Course content takes into consideration external standards and requirements and market demand. 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Teach out or course transition arrangements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Teach out or course transition plans.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Admission criteria and processes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The rationale for, and details of, the actual admissions criteria used by student cohort, for each delivery site.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Statistics on the number of students admitted through a special or alternative admission arrangement over the last five years.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Benchmarking of comparable admission criteria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Admission criteria for comparable courses of study identified through external benchmarking and how these have been taken into account in setting the admission criteria.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Articulation and credit transfer arrangements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Clear, accessible and transparent processes that provide award pathways and credit arrangement with students.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Articulation and credit arrangements are effective and have been adhered to. 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Any decision to give credit is information based, equitable, transparent, timely and academically defensible.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The granting of credit takes into account the comparability and equivalence of the learning outcomes, volume of learning, program of study including content, and learning and assessment approaches.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 publically available registers of all formalised agreements and common credit transfer articulation arrangements.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lastRenderedPageBreak/>
              <w:t>Use of stakeholder feedback to improve teaching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How feedback from stakeholders (such as students, graduates, staff and employers of graduates) have been shared with teaching staff.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 xml:space="preserve">Examples of how </w:t>
            </w:r>
            <w:proofErr w:type="gramStart"/>
            <w:r w:rsidRPr="002C2936">
              <w:rPr>
                <w:rFonts w:ascii="Myriad Pro" w:hAnsi="Myriad Pro"/>
              </w:rPr>
              <w:t>staff have</w:t>
            </w:r>
            <w:proofErr w:type="gramEnd"/>
            <w:r w:rsidRPr="002C2936">
              <w:rPr>
                <w:rFonts w:ascii="Myriad Pro" w:hAnsi="Myriad Pro"/>
              </w:rPr>
              <w:t xml:space="preserve"> been supported to use the data to improve their teaching.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Quality of Work-integrated learning</w:t>
            </w:r>
            <w:r w:rsidRPr="002C2936">
              <w:rPr>
                <w:rFonts w:ascii="Myriad Pro" w:hAnsi="Myriad Pro"/>
                <w:vertAlign w:val="superscript"/>
              </w:rPr>
              <w:footnoteReference w:id="2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Arrangements to assure the academic quality of any work-integrated learning activities.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Evidence of ongoing evaluation of work-integrated learning arrangements and of student experience (to make improvements and assess how best to prepare students undertaking work-integrated learning).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Effectiveness of e-learning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Examples of strategies, features and resources used to ensure the effectiveness of e-learning.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  <w:tr w:rsidR="002C2936" w:rsidRPr="002C2936" w:rsidTr="002C29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Quality assurance of third party, agents, and/ or partner arrangements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Moderation reports and evidence of use.</w:t>
            </w: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  <w:p w:rsidR="002C2936" w:rsidRPr="002C2936" w:rsidRDefault="002C2936" w:rsidP="002C2936">
            <w:pPr>
              <w:rPr>
                <w:rFonts w:ascii="Myriad Pro" w:hAnsi="Myriad Pro"/>
              </w:rPr>
            </w:pPr>
            <w:r w:rsidRPr="002C2936">
              <w:rPr>
                <w:rFonts w:ascii="Myriad Pro" w:hAnsi="Myriad Pro"/>
              </w:rPr>
              <w:t>Outline of responsibilities of every party involved in offering the course of study, and how performance of these responsibilities is monitored and assured.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36" w:rsidRPr="002C2936" w:rsidRDefault="002C2936" w:rsidP="002C2936">
            <w:pPr>
              <w:rPr>
                <w:rFonts w:ascii="Myriad Pro" w:hAnsi="Myriad Pro"/>
              </w:rPr>
            </w:pPr>
          </w:p>
        </w:tc>
      </w:tr>
    </w:tbl>
    <w:p w:rsidR="002C2936" w:rsidRPr="002C2936" w:rsidRDefault="002C2936" w:rsidP="002C2936">
      <w:pPr>
        <w:rPr>
          <w:rFonts w:ascii="Myriad Pro" w:eastAsia="Calibri" w:hAnsi="Myriad Pro" w:cs="Times New Roman"/>
        </w:rPr>
      </w:pPr>
    </w:p>
    <w:p w:rsidR="002C2936" w:rsidRPr="002C2936" w:rsidRDefault="002C2936" w:rsidP="002C2936">
      <w:pPr>
        <w:rPr>
          <w:rFonts w:ascii="Myriad Pro" w:eastAsia="Calibri" w:hAnsi="Myriad Pro" w:cs="Times New Roman"/>
        </w:rPr>
      </w:pPr>
      <w:r w:rsidRPr="002C2936">
        <w:rPr>
          <w:rFonts w:ascii="Myriad Pro" w:eastAsia="Calibri" w:hAnsi="Myriad Pro" w:cs="Times New Roman"/>
          <w:b/>
        </w:rPr>
        <w:t>Resources</w:t>
      </w:r>
      <w:r w:rsidRPr="002C2936">
        <w:rPr>
          <w:rFonts w:ascii="Myriad Pro" w:eastAsia="Calibri" w:hAnsi="Myriad Pro" w:cs="Times New Roman"/>
        </w:rPr>
        <w:t>:</w:t>
      </w:r>
    </w:p>
    <w:p w:rsidR="002C2936" w:rsidRPr="002C2936" w:rsidRDefault="009815C3" w:rsidP="002C2936">
      <w:pPr>
        <w:numPr>
          <w:ilvl w:val="0"/>
          <w:numId w:val="2"/>
        </w:numPr>
        <w:spacing w:after="0" w:line="240" w:lineRule="auto"/>
        <w:contextualSpacing/>
        <w:rPr>
          <w:rFonts w:ascii="Myriad Pro" w:eastAsia="Calibri" w:hAnsi="Myriad Pro" w:cs="Times New Roman"/>
        </w:rPr>
      </w:pPr>
      <w:hyperlink r:id="rId8" w:history="1">
        <w:r w:rsidR="002C2936" w:rsidRPr="002C2936">
          <w:rPr>
            <w:rFonts w:ascii="Myriad Pro" w:eastAsia="Calibri" w:hAnsi="Myriad Pro" w:cs="Times New Roman"/>
            <w:color w:val="0000FF" w:themeColor="hyperlink"/>
            <w:u w:val="single"/>
          </w:rPr>
          <w:t>Future directions for TEQSA's regulatory processes</w:t>
        </w:r>
      </w:hyperlink>
      <w:r w:rsidR="002C2936" w:rsidRPr="002C2936">
        <w:rPr>
          <w:rFonts w:ascii="Myriad Pro" w:eastAsia="Calibri" w:hAnsi="Myriad Pro" w:cs="Times New Roman"/>
        </w:rPr>
        <w:t xml:space="preserve"> (relating to: renewal of registration; course accreditation; and renewal of course accreditation)</w:t>
      </w:r>
    </w:p>
    <w:p w:rsidR="002C2936" w:rsidRPr="002C2936" w:rsidRDefault="009815C3" w:rsidP="002C2936">
      <w:pPr>
        <w:numPr>
          <w:ilvl w:val="0"/>
          <w:numId w:val="2"/>
        </w:numPr>
        <w:spacing w:after="0" w:line="240" w:lineRule="auto"/>
        <w:contextualSpacing/>
        <w:rPr>
          <w:rFonts w:ascii="Myriad Pro" w:eastAsia="Calibri" w:hAnsi="Myriad Pro" w:cs="Times New Roman"/>
        </w:rPr>
      </w:pPr>
      <w:hyperlink r:id="rId9" w:history="1">
        <w:r w:rsidR="002C2936" w:rsidRPr="002C2936">
          <w:rPr>
            <w:rFonts w:ascii="Myriad Pro" w:eastAsia="Calibri" w:hAnsi="Myriad Pro" w:cs="Times New Roman"/>
            <w:color w:val="0000FF" w:themeColor="hyperlink"/>
            <w:u w:val="single"/>
          </w:rPr>
          <w:t>Application for renewal of accreditation for a course of study</w:t>
        </w:r>
      </w:hyperlink>
    </w:p>
    <w:p w:rsidR="002C2936" w:rsidRPr="002C2936" w:rsidRDefault="009815C3" w:rsidP="002C2936">
      <w:pPr>
        <w:numPr>
          <w:ilvl w:val="0"/>
          <w:numId w:val="2"/>
        </w:numPr>
        <w:spacing w:after="0" w:line="240" w:lineRule="auto"/>
        <w:contextualSpacing/>
        <w:rPr>
          <w:rFonts w:ascii="Myriad Pro" w:eastAsia="Calibri" w:hAnsi="Myriad Pro" w:cs="Times New Roman"/>
        </w:rPr>
      </w:pPr>
      <w:hyperlink r:id="rId10" w:history="1">
        <w:r w:rsidR="002C2936" w:rsidRPr="002C2936">
          <w:rPr>
            <w:rFonts w:ascii="Myriad Pro" w:eastAsia="Calibri" w:hAnsi="Myriad Pro" w:cs="Times New Roman"/>
            <w:color w:val="0000FF" w:themeColor="hyperlink"/>
            <w:u w:val="single"/>
          </w:rPr>
          <w:t>Guide for renewal of accreditation for a course of study</w:t>
        </w:r>
      </w:hyperlink>
    </w:p>
    <w:p w:rsidR="002C2936" w:rsidRPr="002C2936" w:rsidRDefault="009815C3" w:rsidP="002C2936">
      <w:pPr>
        <w:numPr>
          <w:ilvl w:val="0"/>
          <w:numId w:val="2"/>
        </w:numPr>
        <w:spacing w:after="0" w:line="240" w:lineRule="auto"/>
        <w:contextualSpacing/>
        <w:rPr>
          <w:rFonts w:ascii="Myriad Pro" w:eastAsia="Calibri" w:hAnsi="Myriad Pro" w:cs="Times New Roman"/>
        </w:rPr>
      </w:pPr>
      <w:hyperlink r:id="rId11" w:history="1">
        <w:r w:rsidR="002C2936" w:rsidRPr="002C2936">
          <w:rPr>
            <w:rFonts w:ascii="Myriad Pro" w:eastAsia="Calibri" w:hAnsi="Myriad Pro" w:cs="Times New Roman"/>
            <w:color w:val="0000FF" w:themeColor="hyperlink"/>
            <w:u w:val="single"/>
          </w:rPr>
          <w:t>Application for accreditation of a higher education course of study</w:t>
        </w:r>
      </w:hyperlink>
    </w:p>
    <w:p w:rsidR="002C2936" w:rsidRPr="002C2936" w:rsidRDefault="009815C3" w:rsidP="002C2936">
      <w:pPr>
        <w:numPr>
          <w:ilvl w:val="0"/>
          <w:numId w:val="2"/>
        </w:numPr>
        <w:spacing w:after="0" w:line="240" w:lineRule="auto"/>
        <w:contextualSpacing/>
        <w:rPr>
          <w:rFonts w:ascii="Myriad Pro" w:eastAsia="Calibri" w:hAnsi="Myriad Pro" w:cs="Times New Roman"/>
        </w:rPr>
      </w:pPr>
      <w:hyperlink r:id="rId12" w:history="1">
        <w:r w:rsidR="002C2936" w:rsidRPr="002C2936">
          <w:rPr>
            <w:rFonts w:ascii="Myriad Pro" w:eastAsia="Calibri" w:hAnsi="Myriad Pro" w:cs="Times New Roman"/>
            <w:color w:val="0000FF" w:themeColor="hyperlink"/>
            <w:u w:val="single"/>
          </w:rPr>
          <w:t>Guide to application for accreditation of a higher education course of study</w:t>
        </w:r>
      </w:hyperlink>
    </w:p>
    <w:p w:rsidR="00177B95" w:rsidRDefault="00177B95"/>
    <w:sectPr w:rsidR="00177B95" w:rsidSect="002C29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C3" w:rsidRDefault="009815C3" w:rsidP="002C2936">
      <w:pPr>
        <w:spacing w:after="0" w:line="240" w:lineRule="auto"/>
      </w:pPr>
      <w:r>
        <w:separator/>
      </w:r>
    </w:p>
  </w:endnote>
  <w:endnote w:type="continuationSeparator" w:id="0">
    <w:p w:rsidR="009815C3" w:rsidRDefault="009815C3" w:rsidP="002C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C3" w:rsidRDefault="009815C3" w:rsidP="002C2936">
      <w:pPr>
        <w:spacing w:after="0" w:line="240" w:lineRule="auto"/>
      </w:pPr>
      <w:r>
        <w:separator/>
      </w:r>
    </w:p>
  </w:footnote>
  <w:footnote w:type="continuationSeparator" w:id="0">
    <w:p w:rsidR="009815C3" w:rsidRDefault="009815C3" w:rsidP="002C2936">
      <w:pPr>
        <w:spacing w:after="0" w:line="240" w:lineRule="auto"/>
      </w:pPr>
      <w:r>
        <w:continuationSeparator/>
      </w:r>
    </w:p>
  </w:footnote>
  <w:footnote w:id="1">
    <w:p w:rsidR="002C2936" w:rsidRDefault="002C2936" w:rsidP="002C2936">
      <w:pPr>
        <w:pStyle w:val="FootnoteText"/>
        <w:rPr>
          <w:rFonts w:ascii="Myriad Pro" w:hAnsi="Myriad Pro"/>
        </w:rPr>
      </w:pPr>
      <w:r>
        <w:rPr>
          <w:rStyle w:val="FootnoteReference"/>
          <w:rFonts w:ascii="Myriad Pro" w:hAnsi="Myriad Pro"/>
          <w:sz w:val="18"/>
        </w:rPr>
        <w:footnoteRef/>
      </w:r>
      <w:r>
        <w:rPr>
          <w:rFonts w:ascii="Myriad Pro" w:hAnsi="Myriad Pro"/>
          <w:sz w:val="18"/>
        </w:rPr>
        <w:t xml:space="preserve"> Benchmarking according to TEQSA’s definition is recognised as a means by which an entity can: demonstrate accountability to stakeholders; improve networking and collaborative relationships; generate management information; develop an increased understanding of practice, process or performance; and garner insights into how improvements might be made. In the context of course accreditation, benchmarking involves comparing performance outcomes and/or processes of similar courses of study delivered by other providers. ‘Internal benchmarking’ against other relevant courses offered by the provider may also be undertaken.</w:t>
      </w:r>
    </w:p>
  </w:footnote>
  <w:footnote w:id="2">
    <w:p w:rsidR="002C2936" w:rsidRDefault="002C2936" w:rsidP="002C2936">
      <w:pPr>
        <w:pStyle w:val="FootnoteText"/>
      </w:pPr>
      <w:r>
        <w:rPr>
          <w:rStyle w:val="FootnoteReference"/>
        </w:rPr>
        <w:footnoteRef/>
      </w:r>
      <w:r>
        <w:t xml:space="preserve"> Examples of work-integrated learning include: clinical and other practical placements; work observation; work experience; simulated work environments; clinical rotations; practical projects; cooperative education; and community-based learning.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163"/>
    <w:multiLevelType w:val="hybridMultilevel"/>
    <w:tmpl w:val="B942C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872FA"/>
    <w:multiLevelType w:val="hybridMultilevel"/>
    <w:tmpl w:val="EF44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36"/>
    <w:rsid w:val="00177B95"/>
    <w:rsid w:val="001A4DE6"/>
    <w:rsid w:val="002C2936"/>
    <w:rsid w:val="009815C3"/>
    <w:rsid w:val="00F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29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9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936"/>
    <w:rPr>
      <w:vertAlign w:val="superscript"/>
    </w:rPr>
  </w:style>
  <w:style w:type="table" w:styleId="TableGrid">
    <w:name w:val="Table Grid"/>
    <w:basedOn w:val="TableNormal"/>
    <w:uiPriority w:val="59"/>
    <w:rsid w:val="002C2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29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9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936"/>
    <w:rPr>
      <w:vertAlign w:val="superscript"/>
    </w:rPr>
  </w:style>
  <w:style w:type="table" w:styleId="TableGrid">
    <w:name w:val="Table Grid"/>
    <w:basedOn w:val="TableNormal"/>
    <w:uiPriority w:val="59"/>
    <w:rsid w:val="002C2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qsa.gov.au/sites/default/files/FutureDirectionsForTEQSARegulatoryProcesse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qsa.gov.au/sites/default/files/GuideCourseAccredAQF_v2.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qsa.gov.au/sites/default/files/ApplicationFormCourseAccreditationUpdatedDec2013_1_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qsa.gov.au/sites/default/files/GuideCourseAccredRenewal_v2.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qsa.gov.au/sites/default/files/ApplicationFormRenewalCourseAccreditationUpdatedDec2013_1_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2016-02-10T20:38:00Z</dcterms:created>
  <dcterms:modified xsi:type="dcterms:W3CDTF">2016-02-10T20:38:00Z</dcterms:modified>
</cp:coreProperties>
</file>