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4F7B7" w:rsidR="0034508B" w:rsidRPr="0034508B" w:rsidRDefault="0034508B" w:rsidP="0034508B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hAnsi="Helvetica" w:eastAsia="Times New Roman" w:cs="Helvetica"/>
          <w:color w:val="3A3734"/>
          <w:sz w:val="21"/>
          <w:szCs w:val="21"/>
          <w:lang w:eastAsia="en-AU"/>
        </w:rPr>
        <w:t>All special consideration requests for single unit applications in this unit are to be submitted into this dr</w:t>
      </w:r>
      <w:r>
        <w:rPr>
          <w:rFonts w:ascii="Helvetica" w:hAnsi="Helvetica" w:eastAsia="Times New Roman" w:cs="Helvetica"/>
          <w:color w:val="3A3734"/>
          <w:sz w:val="21"/>
          <w:szCs w:val="21"/>
          <w:lang w:eastAsia="en-AU"/>
        </w:rPr>
        <w:t>op box electronically using the</w:t>
      </w:r>
      <w:r>
        <w:rPr>
          <w:rFonts w:ascii="Helvetica" w:hAnsi="Helvetica" w:eastAsia="Times New Roman" w:cs="Helvetica"/>
          <w:color w:val="06326F"/>
          <w:sz w:val="21"/>
          <w:szCs w:val="21"/>
          <w:lang w:eastAsia="en-AU"/>
        </w:rPr>
        <w:t xml:space="preserve"> </w:t>
      </w:r>
      <w:hyperlink r:id="rId8" w:history="1">
        <w:r w:rsidR="00047FB8" w:rsidRPr="00047FB8">
          <w:rPr>
            <w:rStyle w:val="Hyperlink"/>
            <w:rFonts w:ascii="Helvetica" w:hAnsi="Helvetica" w:eastAsia="Times New Roman" w:cs="Helvetica"/>
            <w:color w:val="1F3864" w:themeColor="accent1" w:themeShade="80"/>
            <w:sz w:val="21"/>
            <w:szCs w:val="21"/>
            <w:lang w:eastAsia="en-AU"/>
          </w:rPr>
          <w:t>Special Consideration Application Form</w:t>
        </w:r>
      </w:hyperlink>
      <w:r w:rsidRPr="0034508B">
        <w:rPr>
          <w:rFonts w:ascii="Helvetica" w:hAnsi="Helvetica" w:eastAsia="Times New Roman" w:cs="Helvetica"/>
          <w:color w:val="1F3864" w:themeColor="accent1" w:themeShade="80"/>
          <w:sz w:val="21"/>
          <w:szCs w:val="21"/>
          <w:lang w:eastAsia="en-AU"/>
        </w:rPr>
        <w:t>. </w:t>
      </w:r>
    </w:p>
    <w:p w14:paraId="6A407C87" w:rsidR="0034508B" w:rsidRPr="0034508B" w:rsidRDefault="0034508B" w:rsidP="0034508B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hAnsi="Helvetica" w:eastAsia="Times New Roman" w:cs="Helvetica"/>
          <w:color w:val="3A3734"/>
          <w:sz w:val="21"/>
          <w:szCs w:val="21"/>
          <w:lang w:eastAsia="en-AU"/>
        </w:rPr>
        <w:t>Applications for multiple units are to be emailed to: </w:t>
      </w:r>
      <w:bookmarkStart w:id="0" w:name="_GoBack"/>
      <w:bookmarkEnd w:id="0"/>
    </w:p>
    <w:p w14:paraId="5707AD64" w:rsidR="0034508B" w:rsidRPr="0034508B" w:rsidRDefault="0034508B" w:rsidP="0034508B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hAnsi="Helvetica" w:eastAsia="Times New Roman" w:cs="Helvetica"/>
          <w:color w:val="3A3734"/>
          <w:sz w:val="21"/>
          <w:szCs w:val="21"/>
          <w:lang w:eastAsia="en-AU"/>
        </w:rPr>
        <w:t>Students must NOT submit their assignment to this drop box. </w:t>
      </w:r>
    </w:p>
    <w:p w14:paraId="48DBDDAB" w:rsidR="0034508B" w:rsidRPr="0034508B" w:rsidRDefault="0034508B" w:rsidP="0034508B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hAnsi="Helvetica" w:eastAsia="Times New Roman" w:cs="Helvetica"/>
          <w:color w:val="3A3734"/>
          <w:sz w:val="21"/>
          <w:szCs w:val="21"/>
          <w:lang w:eastAsia="en-AU"/>
        </w:rPr>
        <w:t>Students will be notified of the outcome of their application via the submission box. </w:t>
      </w:r>
    </w:p>
    <w:p w14:paraId="690A0304" w:rsidR="0034508B" w:rsidRPr="0034508B" w:rsidRDefault="0034508B" w:rsidP="0034508B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hAnsi="Helvetica" w:eastAsia="Times New Roman" w:cs="Helvetica"/>
          <w:color w:val="3A3734"/>
          <w:sz w:val="21"/>
          <w:szCs w:val="21"/>
          <w:lang w:eastAsia="en-AU"/>
        </w:rPr>
        <w:t>If you can't complete an assessment due to difficult circumstances, you may be eligible for special consideration. Before completing a </w:t>
      </w:r>
      <w:hyperlink r:id="rId9" w:history="1">
        <w:r w:rsidRPr="0034508B">
          <w:rPr>
            <w:rFonts w:ascii="Helvetica" w:hAnsi="Helvetica" w:eastAsia="Times New Roman" w:cs="Helvetica"/>
            <w:color w:val="06326F"/>
            <w:sz w:val="21"/>
            <w:szCs w:val="21"/>
            <w:u w:val="single"/>
            <w:lang w:eastAsia="en-AU"/>
          </w:rPr>
          <w:t>Special Consideration Form</w:t>
        </w:r>
      </w:hyperlink>
      <w:r w:rsidRPr="0034508B">
        <w:rPr>
          <w:rFonts w:ascii="Helvetica" w:hAnsi="Helvetica" w:eastAsia="Times New Roman" w:cs="Helvetica"/>
          <w:color w:val="3A3734"/>
          <w:sz w:val="21"/>
          <w:szCs w:val="21"/>
          <w:lang w:eastAsia="en-AU"/>
        </w:rPr>
        <w:t>, make sure you are familiar with the criteria and processes.</w:t>
      </w:r>
    </w:p>
    <w:p w14:paraId="6414BB78" w:rsidR="0034508B" w:rsidRPr="0034508B" w:rsidRDefault="0034508B" w:rsidP="0034508B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hAnsi="Helvetica" w:eastAsia="Times New Roman" w:cs="Helvetica"/>
          <w:color w:val="3A3734"/>
          <w:sz w:val="21"/>
          <w:szCs w:val="21"/>
          <w:lang w:eastAsia="en-AU"/>
        </w:rPr>
        <w:t>Special consideration for one assessment task cannot be submitted before the assessment due date and can only be submitted up to five working days after the relevant assessment due date. </w:t>
      </w:r>
    </w:p>
    <w:p w14:paraId="51F861B4" w:rsidR="0034508B" w:rsidRPr="0034508B" w:rsidRDefault="0034508B" w:rsidP="0034508B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hAnsi="Helvetica" w:eastAsia="Times New Roman" w:cs="Helvetica"/>
          <w:color w:val="3A3734"/>
          <w:sz w:val="21"/>
          <w:szCs w:val="21"/>
          <w:lang w:eastAsia="en-AU"/>
        </w:rPr>
        <w:t>If you are unable to submit multiple assessment tasks by the due dates you can submit a special consideration prior to or up to 5 working days after the first due date. This special consideration needs to be submitted to the school office or the course coordinator.</w:t>
      </w:r>
    </w:p>
    <w:p w14:paraId="46CE7559" w:rsidR="0034508B" w:rsidRPr="0034508B" w:rsidRDefault="0034508B" w:rsidP="0034508B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hAnsi="Helvetica" w:eastAsia="Times New Roman" w:cs="Helvetica"/>
          <w:color w:val="3A3734"/>
          <w:sz w:val="21"/>
          <w:szCs w:val="21"/>
          <w:lang w:eastAsia="en-AU"/>
        </w:rPr>
        <w:t>You are only </w:t>
      </w:r>
      <w:r w:rsidRPr="0034508B">
        <w:rPr>
          <w:rFonts w:ascii="Helvetica" w:hAnsi="Helvetica" w:eastAsia="Times New Roman" w:cs="Helvetica"/>
          <w:b/>
          <w:bCs/>
          <w:color w:val="3A3734"/>
          <w:sz w:val="21"/>
          <w:szCs w:val="21"/>
          <w:lang w:eastAsia="en-AU"/>
        </w:rPr>
        <w:t>eligible</w:t>
      </w:r>
      <w:r w:rsidRPr="0034508B">
        <w:rPr>
          <w:rFonts w:ascii="Helvetica" w:hAnsi="Helvetica" w:eastAsia="Times New Roman" w:cs="Helvetica"/>
          <w:color w:val="3A3734"/>
          <w:sz w:val="21"/>
          <w:szCs w:val="21"/>
          <w:lang w:eastAsia="en-AU"/>
        </w:rPr>
        <w:t> for special consideration in situations such as:</w:t>
      </w:r>
    </w:p>
    <w:p w14:paraId="41BC3DFF" w:rsidR="0034508B" w:rsidRPr="0034508B" w:rsidRDefault="0034508B" w:rsidP="003450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hAnsi="Helvetica" w:eastAsia="Times New Roman" w:cs="Helvetica"/>
          <w:b/>
          <w:bCs/>
          <w:color w:val="3A3734"/>
          <w:sz w:val="21"/>
          <w:szCs w:val="21"/>
          <w:lang w:eastAsia="en-AU"/>
        </w:rPr>
        <w:t>a serious medical condition, psychiatric illness, severe depression and/or substance abuse addiction</w:t>
      </w:r>
    </w:p>
    <w:p w14:paraId="0EB1D72D" w:rsidR="0034508B" w:rsidRPr="0034508B" w:rsidRDefault="0034508B" w:rsidP="003450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hAnsi="Helvetica" w:eastAsia="Times New Roman" w:cs="Helvetica"/>
          <w:b/>
          <w:bCs/>
          <w:color w:val="3A3734"/>
          <w:sz w:val="21"/>
          <w:szCs w:val="21"/>
          <w:lang w:eastAsia="en-AU"/>
        </w:rPr>
        <w:t>on-going serious family issues, including illness, abusive situations, socio economic disadvantage</w:t>
      </w:r>
    </w:p>
    <w:p w14:paraId="0145EDF2" w:rsidR="0034508B" w:rsidRPr="0034508B" w:rsidRDefault="0034508B" w:rsidP="003450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hAnsi="Helvetica" w:eastAsia="Times New Roman" w:cs="Helvetica"/>
          <w:b/>
          <w:bCs/>
          <w:color w:val="3A3734"/>
          <w:sz w:val="21"/>
          <w:szCs w:val="21"/>
          <w:lang w:eastAsia="en-AU"/>
        </w:rPr>
        <w:t>accident or trauma which may or may not also cause a temporary medical/mental condition</w:t>
      </w:r>
    </w:p>
    <w:p w14:paraId="470FAD33" w:rsidR="0034508B" w:rsidRPr="0034508B" w:rsidRDefault="0034508B" w:rsidP="003450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hAnsi="Helvetica" w:eastAsia="Times New Roman" w:cs="Helvetica"/>
          <w:b/>
          <w:bCs/>
          <w:color w:val="3A3734"/>
          <w:sz w:val="21"/>
          <w:szCs w:val="21"/>
          <w:lang w:eastAsia="en-AU"/>
        </w:rPr>
        <w:t>death of a family member or close friend</w:t>
      </w:r>
    </w:p>
    <w:p w14:paraId="4046BE68" w:rsidR="0034508B" w:rsidRPr="0034508B" w:rsidRDefault="0034508B" w:rsidP="003450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hAnsi="Helvetica" w:eastAsia="Times New Roman" w:cs="Helvetica"/>
          <w:b/>
          <w:bCs/>
          <w:color w:val="3A3734"/>
          <w:sz w:val="21"/>
          <w:szCs w:val="21"/>
          <w:lang w:eastAsia="en-AU"/>
        </w:rPr>
        <w:t>Political unrest or disaster, which places family members in jeopardy in home country.</w:t>
      </w:r>
    </w:p>
    <w:p w14:paraId="34B1F401" w:rsidR="0034508B" w:rsidRPr="0034508B" w:rsidRDefault="0034508B" w:rsidP="003450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hAnsi="Helvetica" w:eastAsia="Times New Roman" w:cs="Helvetica"/>
          <w:b/>
          <w:bCs/>
          <w:color w:val="3A3734"/>
          <w:sz w:val="21"/>
          <w:szCs w:val="21"/>
          <w:lang w:eastAsia="en-AU"/>
        </w:rPr>
        <w:t>Activities covered by the Student Defence Reserves and Emergency Services Support Policy</w:t>
      </w:r>
      <w:hyperlink r:id="rId10" w:anchor="_bookmark0" w:history="1">
        <w:r w:rsidRPr="0034508B">
          <w:rPr>
            <w:rFonts w:ascii="Helvetica" w:hAnsi="Helvetica" w:eastAsia="Times New Roman" w:cs="Helvetica"/>
            <w:b/>
            <w:bCs/>
            <w:color w:val="06326F"/>
            <w:sz w:val="21"/>
            <w:szCs w:val="21"/>
            <w:u w:val="single"/>
            <w:lang w:eastAsia="en-AU"/>
          </w:rPr>
          <w:br/>
        </w:r>
      </w:hyperlink>
    </w:p>
    <w:p w14:paraId="3FCD3E4B" w:rsidR="0034508B" w:rsidRPr="0034508B" w:rsidRDefault="0034508B" w:rsidP="003450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hAnsi="Helvetica" w:eastAsia="Times New Roman" w:cs="Helvetica"/>
          <w:b/>
          <w:bCs/>
          <w:color w:val="3A3734"/>
          <w:sz w:val="21"/>
          <w:szCs w:val="21"/>
          <w:lang w:eastAsia="en-AU"/>
        </w:rPr>
        <w:t>A combination of moderate problems</w:t>
      </w:r>
    </w:p>
    <w:p w14:paraId="1C8551B5" w:rsidR="0034508B" w:rsidRPr="0034508B" w:rsidRDefault="0034508B" w:rsidP="0034508B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hAnsi="Helvetica" w:eastAsia="Times New Roman" w:cs="Helvetica"/>
          <w:color w:val="3A3734"/>
          <w:sz w:val="21"/>
          <w:szCs w:val="21"/>
          <w:lang w:eastAsia="en-AU"/>
        </w:rPr>
        <w:t>You need to provide </w:t>
      </w:r>
      <w:r w:rsidRPr="0034508B">
        <w:rPr>
          <w:rFonts w:ascii="Helvetica" w:hAnsi="Helvetica" w:eastAsia="Times New Roman" w:cs="Helvetica"/>
          <w:b/>
          <w:bCs/>
          <w:color w:val="3A3734"/>
          <w:sz w:val="21"/>
          <w:szCs w:val="21"/>
          <w:lang w:eastAsia="en-AU"/>
        </w:rPr>
        <w:t>documentary evidence</w:t>
      </w:r>
      <w:r w:rsidRPr="0034508B">
        <w:rPr>
          <w:rFonts w:ascii="Helvetica" w:hAnsi="Helvetica" w:eastAsia="Times New Roman" w:cs="Helvetica"/>
          <w:color w:val="3A3734"/>
          <w:sz w:val="21"/>
          <w:szCs w:val="21"/>
          <w:lang w:eastAsia="en-AU"/>
        </w:rPr>
        <w:t> to support your request for special consideration. </w:t>
      </w:r>
      <w:r w:rsidRPr="0034508B">
        <w:rPr>
          <w:rFonts w:ascii="Helvetica" w:hAnsi="Helvetica" w:eastAsia="Times New Roman" w:cs="Helvetica"/>
          <w:b/>
          <w:bCs/>
          <w:color w:val="3A3734"/>
          <w:sz w:val="21"/>
          <w:szCs w:val="21"/>
          <w:lang w:eastAsia="en-AU"/>
        </w:rPr>
        <w:t>Section E of the Special Consideration form </w:t>
      </w:r>
      <w:r w:rsidRPr="0034508B">
        <w:rPr>
          <w:rFonts w:ascii="Helvetica" w:hAnsi="Helvetica" w:eastAsia="Times New Roman" w:cs="Helvetica"/>
          <w:color w:val="3A3734"/>
          <w:sz w:val="21"/>
          <w:szCs w:val="21"/>
          <w:lang w:eastAsia="en-AU"/>
        </w:rPr>
        <w:t>must be completed by a qualified registered professional such as a:</w:t>
      </w:r>
    </w:p>
    <w:p w14:paraId="6916DC87" w:rsidR="0034508B" w:rsidRPr="0034508B" w:rsidRDefault="0034508B" w:rsidP="003450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hAnsi="Helvetica" w:eastAsia="Times New Roman" w:cs="Helvetica"/>
          <w:color w:val="3A3734"/>
          <w:sz w:val="21"/>
          <w:szCs w:val="21"/>
          <w:lang w:eastAsia="en-AU"/>
        </w:rPr>
        <w:t>medical practitioner</w:t>
      </w:r>
    </w:p>
    <w:p w14:paraId="1B35E428" w:rsidR="0034508B" w:rsidRPr="0034508B" w:rsidRDefault="0034508B" w:rsidP="003450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hAnsi="Helvetica" w:eastAsia="Times New Roman" w:cs="Helvetica"/>
          <w:color w:val="3A3734"/>
          <w:sz w:val="21"/>
          <w:szCs w:val="21"/>
          <w:lang w:eastAsia="en-AU"/>
        </w:rPr>
        <w:t>psychologist</w:t>
      </w:r>
    </w:p>
    <w:p w14:paraId="6B6AB004" w:rsidR="0034508B" w:rsidRPr="0034508B" w:rsidRDefault="0034508B" w:rsidP="003450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hAnsi="Helvetica" w:eastAsia="Times New Roman" w:cs="Helvetica"/>
          <w:color w:val="3A3734"/>
          <w:sz w:val="21"/>
          <w:szCs w:val="21"/>
          <w:lang w:eastAsia="en-AU"/>
        </w:rPr>
        <w:t>psychiatrist</w:t>
      </w:r>
    </w:p>
    <w:p w14:paraId="560C55A3" w:rsidR="0034508B" w:rsidRPr="0034508B" w:rsidRDefault="0034508B" w:rsidP="003450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hAnsi="Helvetica" w:eastAsia="Times New Roman" w:cs="Helvetica"/>
          <w:color w:val="3A3734"/>
          <w:sz w:val="21"/>
          <w:szCs w:val="21"/>
          <w:lang w:eastAsia="en-AU"/>
        </w:rPr>
        <w:t>dentist</w:t>
      </w:r>
    </w:p>
    <w:p w14:paraId="04E485B6" w:rsidR="0034508B" w:rsidRPr="0034508B" w:rsidRDefault="0034508B" w:rsidP="003450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hAnsi="Helvetica" w:eastAsia="Times New Roman" w:cs="Helvetica"/>
          <w:color w:val="3A3734"/>
          <w:sz w:val="21"/>
          <w:szCs w:val="21"/>
          <w:lang w:eastAsia="en-AU"/>
        </w:rPr>
        <w:t>physiotherapist</w:t>
      </w:r>
    </w:p>
    <w:p w14:paraId="2F8ED58B" w:rsidR="0034508B" w:rsidRPr="0034508B" w:rsidRDefault="0034508B" w:rsidP="003450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hAnsi="Helvetica" w:eastAsia="Times New Roman" w:cs="Helvetica"/>
          <w:color w:val="3A3734"/>
          <w:sz w:val="21"/>
          <w:szCs w:val="21"/>
          <w:lang w:eastAsia="en-AU"/>
        </w:rPr>
        <w:t>counsellor</w:t>
      </w:r>
    </w:p>
    <w:p w14:paraId="12450BCD" w:rsidR="0034508B" w:rsidRPr="0034508B" w:rsidRDefault="0034508B" w:rsidP="0034508B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hAnsi="Helvetica" w:eastAsia="Times New Roman" w:cs="Helvetica"/>
          <w:color w:val="3A3734"/>
          <w:sz w:val="21"/>
          <w:szCs w:val="21"/>
          <w:lang w:eastAsia="en-AU"/>
        </w:rPr>
        <w:t>In all other cases, you must provide documentation that verifies the circumstances of disadvantage. For example, a death notice or certificate, police report or statutory declaration.</w:t>
      </w:r>
    </w:p>
    <w:p w14:paraId="603FE547" w:rsidR="0034508B" w:rsidRPr="0034508B" w:rsidRDefault="0034508B" w:rsidP="0034508B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hAnsi="Helvetica" w:eastAsia="Times New Roman" w:cs="Helvetica"/>
          <w:b/>
          <w:bCs/>
          <w:color w:val="3A3734"/>
          <w:sz w:val="21"/>
          <w:szCs w:val="21"/>
          <w:lang w:eastAsia="en-AU"/>
        </w:rPr>
        <w:lastRenderedPageBreak/>
        <w:t>If you do not attach the required documentation as noted above, your Special Consideration application is likely to be disallowed by your lecturer.</w:t>
      </w:r>
    </w:p>
    <w:p w14:paraId="7146144D" w:rsidR="0034508B" w:rsidRPr="0034508B" w:rsidRDefault="0034508B" w:rsidP="0034508B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hAnsi="Helvetica" w:eastAsia="Times New Roman" w:cs="Helvetica"/>
          <w:color w:val="3A3734"/>
          <w:sz w:val="21"/>
          <w:szCs w:val="21"/>
          <w:lang w:eastAsia="en-AU"/>
        </w:rPr>
        <w:t>For your own records, make sure that you keep a photocopy of the application and supporting documentation.</w:t>
      </w:r>
    </w:p>
    <w:p w14:paraId="6E217580" w:rsidR="0034508B" w:rsidRPr="0034508B" w:rsidRDefault="0034508B" w:rsidP="0034508B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hAnsi="Helvetica" w:eastAsia="Times New Roman" w:cs="Helvetica"/>
          <w:color w:val="3A3734"/>
          <w:sz w:val="21"/>
          <w:szCs w:val="21"/>
          <w:lang w:eastAsia="en-AU"/>
        </w:rPr>
        <w:t> You should be aware that the following examples </w:t>
      </w:r>
      <w:r w:rsidRPr="0034508B">
        <w:rPr>
          <w:rFonts w:ascii="Helvetica" w:hAnsi="Helvetica" w:eastAsia="Times New Roman" w:cs="Helvetica"/>
          <w:b/>
          <w:bCs/>
          <w:color w:val="3A3734"/>
          <w:sz w:val="21"/>
          <w:szCs w:val="21"/>
          <w:lang w:eastAsia="en-AU"/>
        </w:rPr>
        <w:t>do not constitute grounds </w:t>
      </w:r>
      <w:r w:rsidRPr="0034508B">
        <w:rPr>
          <w:rFonts w:ascii="Helvetica" w:hAnsi="Helvetica" w:eastAsia="Times New Roman" w:cs="Helvetica"/>
          <w:color w:val="3A3734"/>
          <w:sz w:val="21"/>
          <w:szCs w:val="21"/>
          <w:lang w:eastAsia="en-AU"/>
        </w:rPr>
        <w:t>for special consideration:</w:t>
      </w:r>
    </w:p>
    <w:p w14:paraId="450C6BDC" w:rsidR="0034508B" w:rsidRPr="0034508B" w:rsidRDefault="00047FB8" w:rsidP="003450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hAnsi="Helvetica" w:eastAsia="Times New Roman" w:cs="Helvetica"/>
          <w:color w:val="3A3734"/>
          <w:sz w:val="21"/>
          <w:szCs w:val="21"/>
          <w:lang w:eastAsia="en-AU"/>
        </w:rPr>
        <w:t>non-completion</w:t>
      </w:r>
      <w:r w:rsidR="0034508B" w:rsidRPr="0034508B">
        <w:rPr>
          <w:rFonts w:ascii="Helvetica" w:hAnsi="Helvetica" w:eastAsia="Times New Roman" w:cs="Helvetica"/>
          <w:color w:val="3A3734"/>
          <w:sz w:val="21"/>
          <w:szCs w:val="21"/>
          <w:lang w:eastAsia="en-AU"/>
        </w:rPr>
        <w:t xml:space="preserve"> of a pre-requisite or co-requisite unit</w:t>
      </w:r>
    </w:p>
    <w:p w14:paraId="7A71118A" w:rsidR="0034508B" w:rsidRPr="0034508B" w:rsidRDefault="0034508B" w:rsidP="003450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hAnsi="Helvetica" w:eastAsia="Times New Roman" w:cs="Helvetica"/>
          <w:color w:val="3A3734"/>
          <w:sz w:val="21"/>
          <w:szCs w:val="21"/>
          <w:lang w:eastAsia="en-AU"/>
        </w:rPr>
        <w:t>timetable clashes and/or misreading the timetable</w:t>
      </w:r>
    </w:p>
    <w:p w14:paraId="740B4073" w:rsidR="0034508B" w:rsidRPr="0034508B" w:rsidRDefault="0034508B" w:rsidP="003450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hAnsi="Helvetica" w:eastAsia="Times New Roman" w:cs="Helvetica"/>
          <w:color w:val="3A3734"/>
          <w:sz w:val="21"/>
          <w:szCs w:val="21"/>
          <w:lang w:eastAsia="en-AU"/>
        </w:rPr>
        <w:t>heavy academic workload and/or professional experience requirements</w:t>
      </w:r>
    </w:p>
    <w:p w14:paraId="7211C2E8" w:rsidR="0034508B" w:rsidRPr="0034508B" w:rsidRDefault="0034508B" w:rsidP="003450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hAnsi="Helvetica" w:eastAsia="Times New Roman" w:cs="Helvetica"/>
          <w:color w:val="3A3734"/>
          <w:sz w:val="21"/>
          <w:szCs w:val="21"/>
          <w:lang w:eastAsia="en-AU"/>
        </w:rPr>
        <w:t>work or sporting commitments (students enrolled under the Elite Athlete Scheme will have relevant requirements previously authorised)</w:t>
      </w:r>
    </w:p>
    <w:p w14:paraId="068EEAFF" w:rsidR="0034508B" w:rsidRPr="0034508B" w:rsidRDefault="0034508B" w:rsidP="003450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hAnsi="Helvetica" w:eastAsia="Times New Roman" w:cs="Helvetica"/>
          <w:color w:val="3A3734"/>
          <w:sz w:val="21"/>
          <w:szCs w:val="21"/>
          <w:lang w:eastAsia="en-AU"/>
        </w:rPr>
        <w:t>family commitments such as preparing for a wedding, party or event</w:t>
      </w:r>
    </w:p>
    <w:p w14:paraId="3025568B" w:rsidR="0034508B" w:rsidRPr="0034508B" w:rsidRDefault="0034508B" w:rsidP="003450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hAnsi="Helvetica" w:eastAsia="Times New Roman" w:cs="Helvetica"/>
          <w:color w:val="3A3734"/>
          <w:sz w:val="21"/>
          <w:szCs w:val="21"/>
          <w:lang w:eastAsia="en-AU"/>
        </w:rPr>
        <w:t>travel commitments</w:t>
      </w:r>
    </w:p>
    <w:p w14:paraId="35399F9A" w:rsidR="0034508B" w:rsidRPr="0034508B" w:rsidRDefault="0034508B" w:rsidP="003450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hAnsi="Helvetica" w:eastAsia="Times New Roman" w:cs="Helvetica"/>
          <w:color w:val="3A3734"/>
          <w:sz w:val="21"/>
          <w:szCs w:val="21"/>
          <w:lang w:eastAsia="en-AU"/>
        </w:rPr>
        <w:t>any claim which is unsubstantiated by relevant supporting documents</w:t>
      </w:r>
    </w:p>
    <w:p w14:paraId="1D6486B7" w:rsidR="0034508B" w:rsidRPr="0034508B" w:rsidRDefault="0034508B" w:rsidP="0034508B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hAnsi="Helvetica" w:eastAsia="Times New Roman" w:cs="Helvetica"/>
          <w:color w:val="3A3734"/>
          <w:sz w:val="21"/>
          <w:szCs w:val="21"/>
          <w:lang w:eastAsia="en-AU"/>
        </w:rPr>
        <w:t>Special consideration is also unlikely to be granted for transport difficulties. This includes traffic accidents, traffic jams or public transport delays.</w:t>
      </w:r>
    </w:p>
    <w:p w14:paraId="4D0D915A" w:rsidR="003B1711" w:rsidRDefault="002A0E3C"/>
    <w:sectPr w:rsidR="003B17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5229B"/>
    <w:multiLevelType w:val="multilevel"/>
    <w:tmpl w:val="B302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910A6"/>
    <w:multiLevelType w:val="multilevel"/>
    <w:tmpl w:val="C254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055145"/>
    <w:multiLevelType w:val="multilevel"/>
    <w:tmpl w:val="08D2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3E1BC5"/>
    <w:multiLevelType w:val="multilevel"/>
    <w:tmpl w:val="2DD4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B"/>
    <w:rsid w:val="00047FB8"/>
    <w:rsid w:val="002A0E3C"/>
    <w:rsid w:val="0034508B"/>
    <w:rsid w:val="006106C6"/>
    <w:rsid w:val="00C8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09A9F-28AE-46EB-AA96-B044B81F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0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08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450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6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portal.acu.edu.au/acuinfo/ss/student-advocacy-service/resources/special-consider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file:///C:\Users\grmutter\AppData\Local\Microsoft\Windows\Temporary%20Internet%20Files\Content.IE5\2JC3OIF4\SC_Application_for_Special_Consideration_20170615.doc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tudentportal.acu.edu.au/acuinfo/ss/student-advocacy-service/resources/special-conside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95254D1FF5148A3E6C4CCB19F8602" ma:contentTypeVersion="0" ma:contentTypeDescription="Create a new document." ma:contentTypeScope="" ma:versionID="37cbbaa09207605275e20860c9228a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BBEA52-3415-4FE6-983A-009C6B00E5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3C21E4-9598-4E4C-9C7D-C2E5CEB6C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D8F073-87A4-440E-8E0E-8C3091F588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Kline</dc:creator>
  <cp:keywords/>
  <dc:description/>
  <cp:lastModifiedBy>Ashton Kline</cp:lastModifiedBy>
  <cp:revision>2</cp:revision>
  <dcterms:created xsi:type="dcterms:W3CDTF">2019-02-12T22:26:00Z</dcterms:created>
  <dcterms:modified xsi:type="dcterms:W3CDTF">2019-02-12T22:26:00Z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0x01010086E95254D1FF5148A3E6C4CCB19F8602</vt:lpwstr>
  </property>
</Properties>
</file>